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412</w:t>
      </w:r>
    </w:p>
    <w:p>
      <w:r>
        <w:t>Bundesgericht (BGE), 1999-10-05, DE</w:t>
      </w:r>
    </w:p>
    <w:p>
      <w:r>
        <w:rPr>
          <w:b/>
        </w:rPr>
        <w:t xml:space="preserve">Quelle: </w:t>
      </w:r>
      <w:r>
        <w:t>https://mcp.opencaselaw.ch/entscheid/bge_125 I 412</w:t>
      </w:r>
    </w:p>
    <w:p>
      <w:r>
        <w:t>FR: ATF 125 I 412</w:t>
      </w:r>
    </w:p>
    <w:p>
      <w:r>
        <w:t>IT: DTF 125 I 412</w:t>
      </w:r>
    </w:p>
    <w:p>
      <w:pPr>
        <w:pStyle w:val="Heading2"/>
      </w:pPr>
      <w:r>
        <w:t>Regeste</w:t>
      </w:r>
    </w:p>
    <w:p>
      <w:r>
        <w:t>Regeste Art. 86 Abs. 1 OG; Anfechtbarkeit einer Verfügung des Kantonsgerichts- präsidenten über die Freigabe von gepfändeten Vermögenswerten im Rahmen der Anerkennung und Vollstreckbarerklärung nach Art. 36 und Art. 37 Abs. 1 und 2 LugÜ. Für das Rechtsbehelfsverfahren nach dem Lugano-Übereinkommen ist das Kantonsgericht zuständig, und zwar unbesehen um den Ausgang des erstinstanzlichen Verfahrens vor dem Rechtsöffnungs- bzw. dem Vollstreckungsrichter. Mit dem Kantonsgericht ist die oberste, für den ganzen Kanton zuständige Zivil- bzw. Handelsgerichtsbehörde gemeint. Die Regelung nach der Zuger Zivilprozessordnung, wonach sowohl gegen den Einspracheentscheid des Kantonsgerichtspräsidenten als auch gegen den Entscheid der Justizkommission des Obergerichts die staatsrechtliche Beschwerde ergriffen werden kann, widerspricht dem übergeordneten Staatsvertrag (E. 1b). Überweisung der Sache an die Justizkommission (E. 1c).</w:t>
      </w:r>
    </w:p>
    <w:p>
      <w:pPr>
        <w:pStyle w:val="Heading2"/>
      </w:pPr>
      <w:r>
        <w:t>Erwägungen</w:t>
      </w:r>
    </w:p>
    <w:p>
      <w:r>
        <w:rPr>
          <w:b/>
        </w:rPr>
        <w:t>E. 1</w:t>
      </w:r>
    </w:p>
    <w:p>
      <w:r>
        <w:t>a) Das Bundesgericht prüft die Zulässigkeit der bei ihm eingereichten Beschwerden von Amtes wegen und mit freier Kognition ( BGE 125 II 293 E. 1a; BGE 124 I 11 E. 1). b) Die staatsrechtliche Beschwerde ist nur gegen letztinstanzliche kantonale Entscheide (Endentscheide und Zwischenentscheide) zulässig ( Art. 86 Abs. 1 OG ). Vorliegend stellt sich die Frage, ob der angefochtene Entscheid kantonal letztinstanzlich ist. Der Kantonsgerichtspräsident hatte bzw. hat über die Vollstreckbarkeit und die angeordneten Sicherungsmassnahmen im Rahmen des Rechtsbehelfsverfahrens nach Art. 36 f. LugÜ entschieden bzw. noch zu entscheiden, nachdem er die umstrittenen Anordnungen bereits erstinstanzlich - als Rechtsöffnungsrichter gemäss Art. 31 f. LugÜ - getroffen hat BGE 125 I 412 S. 415 (vgl. Art 226bis Abs. 1 ZPO /ZG). Art. 226bis ZPO /ZG sieht für das Rechtsbehelfsverfahren zwei verschiedene Zuständigkeiten vor. Hat der Kantonsgerichtspräsident den Antrag auf Anerkennung und Vollstreckung abgelehnt, so kann der Antragsteller bei der Justizkommission des Obergerichts Beschwerde gemäss Art. 208 ff. ZPO /ZG einlegen ( Art. 226bis Abs. 4 Satz 1 ZPO /ZG). Hat er dem Antrag aber entsprochen, so kann der Schuldner Einsprache erheben, über die wiederum der Kantonsgerichtspräsident entscheidet ( Art. 226bis Abs. 5 Satz 1 ZPO /ZG). Sowohl gegen den Entscheid der Justizkommission des Obergerichts als auch gegen den Einspracheentscheid des Kantonsgerichtspräsidenten kann die staatsrechtliche Beschwerde ergriffen werden (Art. 226bis Abs. 4 und 5 je Satz 2 ZPO/ZG). Für das Rechtsmittel an das Bundesgericht entspricht diese Regelung Art. 37 Abs. 2 und Art. 41 LugÜ , wonach gegen den Entscheid, der über den Rechtsbehelf ergangen ist, staatsrechtliche Beschwerde beim Bundesgericht eingelegt werden kann. Im Rechtsbehelfsverfahren ist laut Art. 37 Abs. 1 LugÜ die Zuständigkeit des Kantonsgerichts (tribunal cantonal/-tribunale cantonale) gegeben, und zwar unbesehen um den Ausgang des erstinstanzlichen Verfahrens vor dem Rechtsöffnungs- bzw. dem Vollstreckungsrichter (vgl. Art. 32 Abs. 2 LugÜ ). Die Erläuterungen in der Botschaft zum LugÜ (BBl 1990 II 265 ff., insbesondere S. 328 Ziff. 237.4) stellen klar, dass der Begriff des Kantonsgerichts stellvertretend für die oberste kantonale Gerichtsbehörde in Zivil- und Handelssachen (in mehreren Kantonen auch Obergericht genannt) verwendet wird. Die Zuständigkeit eines unteren kantonalen Gerichts sieht der Staatsvertrag für das Rechtsbehelfsverfahren nicht vor. Das Bundesamt für Justiz vertritt zwar in seinen «Erläuterungen zur Geldvollstreckung im Hinblick auf das Inkrafttreten (des LugÜ) am 1. Januar 1992» (in BBl 1991 IV 313 ff., insb. S. 318) die Auffassung, das Rechtsbehelfsverfahren sollte im Falle des Widerspruchs des Vollstreckungsschuldners als Einsprache- und nicht als eigentliches Rechtsmittelverfahren aufgefasst werden. Zweckmässigerweise werde die Einsprache durch die erlassende Instanz selbst geprüft. Sie erfülle damit nachträglich den Gehörsanspruch und nehme eine ergänzende Rechtskontrolle wahr. In diesem Sinne lasse sich der in Art. 37 Abs. 1 LugÜ enthaltene unbestimmte Begriff Kantonsgericht konkretisieren. Eine derartige Ordnung des Rechtsmittelsystems wird grundsätzlich als zulässig erachtet (Kropholler, Europäisches Zivilprozessrecht, 6. Aufl., Heidelberg 1998, N. 1 zu Art. 37 EuGVÜ), und der Kanton Zug ist der Empfehlung des Bundesamtes mit dem am 25. Juni 1992 eingefügten Art. 226bis ZPO BGE 125 I 412 S. 416 offenbar gefolgt. Indessen hat die Schweiz für eine solche Regelung insofern keine Grundlage geschaffen, als sie im LugÜ das Rechtsbehelfsverfahren sowohl bei positiver als auch bei negativer erstinstanzlicher Beurteilung des Antrags in die Hände des Kantonsgerichts gelegt hat. Dass dieser Begriff der Konkretisierung im Sinne des Bundesamtes zugänglich sei, trifft nicht zu. So geht denn auch aus der Botschaft hervor, dass mit dem Kantonsgericht (allein) die oberste, für den ganzen Kanton zuständige Zivil- bzw. Handelsgerichtsbehörde gemeint ist (vgl. BBl 1990 II 328 Ziff. 237.4, ferner S. 327 Ziff. 237.2 a.E.). Für eine Auslegung, wie sie das Bundesamt vorschlägt, besteht daher kein Raum (ebenso STAEHELIN, in: Kommentar zum Bundesgesetz über Schuldbetreibung und Konkurs, Bd. I, N. 33 zu Art. 30a SchKG , S. 222; CHRISTOPH LEUENBERGER, Lugano-Übereinkommen: Verfahren der Vollstreckbarerklärung ausländischer «Geld»-Urteile, in AJP 1992 S. 965 ff., S. 969 Ziff. 1.6; H.U. WALDER, Anerkennung und Vollstreckung von Entscheidungen, in: IVO SCHWANDER, Das Lugano-Übereinkommen, St. Gallen 1990, S. 152; Y. DONZALLAZ, La convention de Lugano, Bern 1997, vol. II, N. 3922). Die Einspracheregelung gemäss Art. 226bis Abs. 5 ZPO /ZG widerspricht demnach dem übergeordneten Staatsvertrag (Art. 2 UebBest. BV in Verbindung mit Art. 113 Abs. 3 BV ). Dies bedeutet, dass kein kantonal letztinstanzlicher Entscheid vorliegt. c) Das Bundesgericht verzichtet in konstanter Praxis ausnahmsweise auf das Erfordernis der Erschöpfung des kantonalen Instanzenzuges, wenn an der Zulässigkeit eines Rechtsbehelfs ernsthafte Zweifel bestehen ( BGE 120 Ia 194 E. 1d S. 198; BGE 116 Ia 442 E. 1a). Derartige Zweifel sind hier nach dem Ausgeführten nicht am Platz. Die Beurteilung der Begehren des Beschwerdeführers fällt deshalb in die Zuständigkeit der Justizkommission des Zuger Obergerichts ( Art. 226bis Abs. 4 ZPO /ZG analog i.V.m. Art. 37 Abs. 1 LugÜ ; Art. 15 Abs. 2 GOG/ZG i.V.m. Art. 208 ff. ZPO /ZG). Auf die staatsrechtliche Beschwerde ist mangels Letztinstanzlichkeit des angefochtenen Entscheids nicht einzutreten. Da die interessierende zivilprozessuale Norm auf ein unzutreffendes Rechtsmittel hingewiesen hat und dem Beschwerdeführer daraus kein Nachteil erwachsen darf (vgl. Art. 107 Abs. 3 OG , BGE 124 I 255 E. 1a/aa), wird die Beschwerde an die Justizkommission des Obergerichts des Kantons Zug zur Behandlung überwiesen ( BGE 125 I 313 E. 5 S. 320,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